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C5A66">
      <w:pPr>
        <w:jc w:val="center"/>
        <w:rPr>
          <w:rFonts w:ascii="Times New Roman" w:hAnsi="Times New Roman"/>
          <w:b/>
          <w:bCs/>
          <w:sz w:val="15"/>
          <w:szCs w:val="15"/>
        </w:rPr>
      </w:pPr>
    </w:p>
    <w:p w14:paraId="3CBC2C95">
      <w:pPr>
        <w:jc w:val="center"/>
        <w:rPr>
          <w:rFonts w:ascii="Times New Roman" w:hAnsi="Times New Roman"/>
          <w:b/>
          <w:bCs/>
          <w:sz w:val="15"/>
          <w:szCs w:val="15"/>
        </w:rPr>
      </w:pPr>
    </w:p>
    <w:p w14:paraId="21D3A841">
      <w:pPr>
        <w:jc w:val="center"/>
        <w:rPr>
          <w:rFonts w:ascii="Times New Roman" w:hAnsi="Times New Roman"/>
          <w:b/>
          <w:bCs/>
          <w:sz w:val="32"/>
          <w:szCs w:val="32"/>
        </w:rPr>
      </w:pPr>
    </w:p>
    <w:p w14:paraId="54E45811">
      <w:pPr>
        <w:rPr>
          <w:rFonts w:ascii="Times New Roman" w:hAnsi="Times New Roman"/>
          <w:b/>
          <w:bCs/>
          <w:sz w:val="32"/>
          <w:szCs w:val="32"/>
        </w:rPr>
      </w:pPr>
    </w:p>
    <w:p w14:paraId="18443D78">
      <w:pPr>
        <w:rPr>
          <w:rFonts w:ascii="Times New Roman" w:hAnsi="Times New Roman"/>
          <w:b/>
          <w:bCs/>
          <w:sz w:val="32"/>
          <w:szCs w:val="32"/>
        </w:rPr>
      </w:pPr>
    </w:p>
    <w:p w14:paraId="2F9F4A51">
      <w:pPr>
        <w:rPr>
          <w:rFonts w:ascii="Times New Roman" w:hAnsi="Times New Roman"/>
          <w:b/>
          <w:bCs/>
          <w:sz w:val="32"/>
          <w:szCs w:val="32"/>
        </w:rPr>
      </w:pPr>
    </w:p>
    <w:p w14:paraId="7F420287">
      <w:pPr>
        <w:rPr>
          <w:rFonts w:ascii="Times New Roman" w:hAnsi="Times New Roman"/>
          <w:b/>
          <w:bCs/>
          <w:sz w:val="32"/>
          <w:szCs w:val="32"/>
        </w:rPr>
      </w:pPr>
    </w:p>
    <w:p w14:paraId="0C552F29">
      <w:pPr>
        <w:rPr>
          <w:rFonts w:ascii="Times New Roman" w:hAnsi="Times New Roman"/>
          <w:b/>
          <w:bCs/>
          <w:sz w:val="32"/>
          <w:szCs w:val="32"/>
        </w:rPr>
      </w:pPr>
    </w:p>
    <w:p w14:paraId="3EA17D2C">
      <w:pPr>
        <w:rPr>
          <w:rFonts w:ascii="Times New Roman" w:hAnsi="Times New Roman"/>
          <w:b/>
          <w:bCs/>
          <w:sz w:val="32"/>
          <w:szCs w:val="32"/>
        </w:rPr>
      </w:pPr>
    </w:p>
    <w:p w14:paraId="1A98B48E">
      <w:pPr>
        <w:jc w:val="center"/>
        <w:rPr>
          <w:rFonts w:ascii="Times New Roman" w:hAnsi="Times New Roman"/>
          <w:b/>
          <w:bCs/>
          <w:sz w:val="32"/>
          <w:szCs w:val="32"/>
        </w:rPr>
      </w:pPr>
      <w:r>
        <w:rPr>
          <w:rFonts w:hint="eastAsia" w:ascii="Times New Roman" w:hAnsi="Times New Roman"/>
          <w:b/>
          <w:bCs/>
          <w:sz w:val="84"/>
          <w:szCs w:val="84"/>
        </w:rPr>
        <w:t>《学前教育简史》</w:t>
      </w:r>
    </w:p>
    <w:p w14:paraId="42FE9E7F">
      <w:pPr>
        <w:jc w:val="center"/>
        <w:rPr>
          <w:rFonts w:ascii="Times New Roman" w:hAnsi="Times New Roman"/>
          <w:b/>
          <w:bCs/>
          <w:sz w:val="84"/>
          <w:szCs w:val="84"/>
        </w:rPr>
      </w:pPr>
      <w:r>
        <w:rPr>
          <w:rFonts w:hint="eastAsia" w:ascii="Times New Roman" w:hAnsi="Times New Roman"/>
          <w:b/>
          <w:bCs/>
          <w:sz w:val="52"/>
          <w:szCs w:val="52"/>
        </w:rPr>
        <w:t>（第三版）</w:t>
      </w:r>
    </w:p>
    <w:p w14:paraId="3C17D5D5">
      <w:pPr>
        <w:jc w:val="center"/>
        <w:rPr>
          <w:rFonts w:ascii="Times New Roman" w:hAnsi="Times New Roman"/>
          <w:b/>
          <w:bCs/>
          <w:sz w:val="72"/>
          <w:szCs w:val="72"/>
        </w:rPr>
      </w:pPr>
    </w:p>
    <w:p w14:paraId="424A8484">
      <w:pPr>
        <w:jc w:val="center"/>
        <w:rPr>
          <w:rFonts w:ascii="Times New Roman" w:hAnsi="Times New Roman"/>
          <w:b/>
          <w:bCs/>
          <w:sz w:val="72"/>
          <w:szCs w:val="72"/>
        </w:rPr>
      </w:pPr>
      <w:r>
        <w:rPr>
          <w:rFonts w:hint="eastAsia" w:ascii="Times New Roman" w:hAnsi="Times New Roman"/>
          <w:b/>
          <w:bCs/>
          <w:sz w:val="72"/>
          <w:szCs w:val="72"/>
        </w:rPr>
        <w:t>教案</w:t>
      </w:r>
    </w:p>
    <w:p w14:paraId="5F22E3B0">
      <w:pPr>
        <w:jc w:val="center"/>
        <w:rPr>
          <w:rFonts w:ascii="Times New Roman" w:hAnsi="Times New Roman"/>
          <w:b/>
          <w:bCs/>
          <w:sz w:val="28"/>
          <w:szCs w:val="28"/>
        </w:rPr>
      </w:pPr>
    </w:p>
    <w:p w14:paraId="7DB67AC7">
      <w:pPr>
        <w:rPr>
          <w:rFonts w:ascii="Times New Roman" w:hAnsi="Times New Roman"/>
          <w:b/>
          <w:bCs/>
          <w:sz w:val="28"/>
          <w:szCs w:val="28"/>
        </w:rPr>
      </w:pPr>
    </w:p>
    <w:p w14:paraId="6B20DE6D">
      <w:pPr>
        <w:rPr>
          <w:rFonts w:ascii="Times New Roman" w:hAnsi="Times New Roman"/>
          <w:b/>
          <w:bCs/>
          <w:sz w:val="28"/>
          <w:szCs w:val="28"/>
        </w:rPr>
      </w:pPr>
    </w:p>
    <w:p w14:paraId="59D95A4E">
      <w:pPr>
        <w:jc w:val="center"/>
        <w:rPr>
          <w:rFonts w:ascii="Times New Roman" w:hAnsi="Times New Roman"/>
          <w:b/>
          <w:bCs/>
          <w:sz w:val="28"/>
          <w:szCs w:val="28"/>
        </w:rPr>
      </w:pPr>
    </w:p>
    <w:p w14:paraId="4AF1482A">
      <w:pPr>
        <w:jc w:val="center"/>
        <w:rPr>
          <w:rFonts w:ascii="Times New Roman" w:hAnsi="Times New Roman"/>
          <w:b/>
          <w:bCs/>
          <w:sz w:val="28"/>
          <w:szCs w:val="28"/>
        </w:rPr>
      </w:pPr>
    </w:p>
    <w:p w14:paraId="52C4FA8F">
      <w:pPr>
        <w:jc w:val="center"/>
        <w:rPr>
          <w:rFonts w:ascii="Times New Roman" w:hAnsi="Times New Roman"/>
          <w:b/>
          <w:bCs/>
          <w:sz w:val="28"/>
          <w:szCs w:val="28"/>
        </w:rPr>
      </w:pPr>
    </w:p>
    <w:p w14:paraId="5A1ECC59">
      <w:pPr>
        <w:rPr>
          <w:rFonts w:ascii="Times New Roman" w:hAnsi="Times New Roman"/>
          <w:b/>
          <w:bCs/>
          <w:sz w:val="28"/>
          <w:szCs w:val="28"/>
        </w:rPr>
      </w:pPr>
    </w:p>
    <w:p w14:paraId="1404DC41">
      <w:pPr>
        <w:rPr>
          <w:rFonts w:ascii="Times New Roman" w:hAnsi="Times New Roman"/>
          <w:b/>
          <w:bCs/>
          <w:sz w:val="28"/>
          <w:szCs w:val="28"/>
        </w:rPr>
      </w:pPr>
    </w:p>
    <w:p w14:paraId="1F70831D">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57563F61">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57563F61">
                      <w:pPr>
                        <w:rPr>
                          <w:color w:val="FFFFFF" w:themeColor="background1"/>
                          <w14:textFill>
                            <w14:noFill/>
                          </w14:textFill>
                        </w:rPr>
                      </w:pPr>
                    </w:p>
                  </w:txbxContent>
                </v:textbox>
              </v:rect>
            </w:pict>
          </mc:Fallback>
        </mc:AlternateContent>
      </w:r>
    </w:p>
    <w:p w14:paraId="739827FB">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1F55BAB4">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69EBD12E">
      <w:pPr>
        <w:pStyle w:val="2"/>
        <w:bidi w:val="0"/>
        <w:jc w:val="center"/>
      </w:pPr>
      <w:r>
        <w:rPr>
          <w:rFonts w:hint="eastAsia"/>
          <w:lang w:val="en-US" w:eastAsia="zh-CN"/>
        </w:rPr>
        <w:t xml:space="preserve">项目九  </w:t>
      </w:r>
      <w:r>
        <w:rPr>
          <w:rFonts w:hint="eastAsia"/>
        </w:rPr>
        <w:t>古代西方国家的学前教育</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61F55A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13B3BE7">
            <w:pPr>
              <w:ind w:hanging="8"/>
              <w:jc w:val="center"/>
              <w:rPr>
                <w:rFonts w:ascii="宋体" w:hAnsi="宋体" w:cs="宋体"/>
                <w:b/>
                <w:bCs w:val="0"/>
                <w:color w:val="806000" w:themeColor="accent4" w:themeShade="80"/>
                <w:sz w:val="28"/>
                <w:szCs w:val="28"/>
              </w:rPr>
            </w:pPr>
            <w:bookmarkStart w:id="9" w:name="_GoBack" w:colFirst="0" w:colLast="0"/>
            <w:r>
              <w:rPr>
                <w:rFonts w:hint="eastAsia" w:ascii="宋体" w:hAnsi="宋体" w:cs="宋体"/>
                <w:b/>
                <w:bCs w:val="0"/>
                <w:color w:val="806000" w:themeColor="accent4" w:themeShade="80"/>
                <w:sz w:val="28"/>
                <w:szCs w:val="28"/>
              </w:rPr>
              <w:t>课题</w:t>
            </w:r>
          </w:p>
        </w:tc>
        <w:tc>
          <w:tcPr>
            <w:tcW w:w="9394" w:type="dxa"/>
            <w:gridSpan w:val="2"/>
            <w:tcBorders>
              <w:tl2br w:val="nil"/>
              <w:tr2bl w:val="nil"/>
            </w:tcBorders>
            <w:vAlign w:val="center"/>
          </w:tcPr>
          <w:p w14:paraId="0F131898">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古代西方国家的学前教育</w:t>
            </w:r>
          </w:p>
        </w:tc>
      </w:tr>
      <w:tr w14:paraId="293FEE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B4BE1A">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课时</w:t>
            </w:r>
          </w:p>
        </w:tc>
        <w:tc>
          <w:tcPr>
            <w:tcW w:w="9394" w:type="dxa"/>
            <w:gridSpan w:val="2"/>
            <w:tcBorders>
              <w:tl2br w:val="nil"/>
              <w:tr2bl w:val="nil"/>
            </w:tcBorders>
            <w:vAlign w:val="center"/>
          </w:tcPr>
          <w:p w14:paraId="7B8DF16E">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168A580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57DE5">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教学目标</w:t>
            </w:r>
          </w:p>
        </w:tc>
        <w:tc>
          <w:tcPr>
            <w:tcW w:w="9394" w:type="dxa"/>
            <w:gridSpan w:val="2"/>
            <w:tcBorders>
              <w:tl2br w:val="nil"/>
              <w:tr2bl w:val="nil"/>
            </w:tcBorders>
            <w:vAlign w:val="center"/>
          </w:tcPr>
          <w:p w14:paraId="43EFB740">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7E69E667">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1.理解斯巴达教育的军事化特征。</w:t>
            </w:r>
          </w:p>
          <w:p w14:paraId="4B794D1B">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2.掌握雅典学前教育的概况和特点。</w:t>
            </w:r>
          </w:p>
          <w:p w14:paraId="68CC6FA0">
            <w:pPr>
              <w:spacing w:line="360" w:lineRule="auto"/>
              <w:ind w:firstLine="480" w:firstLineChars="200"/>
              <w:rPr>
                <w:rFonts w:ascii="Times New Roman" w:hAnsi="Times New Roman"/>
                <w:sz w:val="24"/>
                <w:szCs w:val="24"/>
              </w:rPr>
            </w:pPr>
            <w:r>
              <w:rPr>
                <w:rFonts w:hint="eastAsia" w:ascii="Times New Roman" w:hAnsi="Times New Roman"/>
                <w:sz w:val="24"/>
                <w:szCs w:val="24"/>
              </w:rPr>
              <w:t>3.了解西欧中世纪的儿童观。</w:t>
            </w:r>
            <w:bookmarkStart w:id="0" w:name="OLE_LINK1"/>
          </w:p>
          <w:p w14:paraId="37198F6A">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781C6D1D">
            <w:pPr>
              <w:spacing w:line="360" w:lineRule="auto"/>
              <w:ind w:firstLine="480" w:firstLineChars="200"/>
              <w:rPr>
                <w:rFonts w:hint="eastAsia" w:ascii="Times New Roman" w:hAnsi="宋体"/>
                <w:bCs/>
                <w:sz w:val="24"/>
                <w:szCs w:val="24"/>
              </w:rPr>
            </w:pPr>
            <w:r>
              <w:rPr>
                <w:rFonts w:hint="eastAsia" w:ascii="Times New Roman" w:hAnsi="宋体"/>
                <w:bCs/>
                <w:sz w:val="24"/>
                <w:szCs w:val="24"/>
              </w:rPr>
              <w:t>1.学会分析柏拉图为了培养“哲学王”而制订了怎样一个教学计划。</w:t>
            </w:r>
          </w:p>
          <w:p w14:paraId="20D1F831">
            <w:pPr>
              <w:spacing w:line="360" w:lineRule="auto"/>
              <w:ind w:firstLine="480" w:firstLineChars="200"/>
              <w:rPr>
                <w:rFonts w:hint="eastAsia" w:ascii="Times New Roman" w:hAnsi="宋体"/>
                <w:bCs/>
                <w:sz w:val="24"/>
                <w:szCs w:val="24"/>
              </w:rPr>
            </w:pPr>
            <w:r>
              <w:rPr>
                <w:rFonts w:hint="eastAsia" w:ascii="Times New Roman" w:hAnsi="宋体"/>
                <w:bCs/>
                <w:sz w:val="24"/>
                <w:szCs w:val="24"/>
              </w:rPr>
              <w:t>2.理解并会在实践中运用“苏格拉底方法”。</w:t>
            </w:r>
          </w:p>
          <w:p w14:paraId="5243634C">
            <w:pPr>
              <w:spacing w:line="360" w:lineRule="auto"/>
              <w:ind w:firstLine="480" w:firstLineChars="200"/>
              <w:rPr>
                <w:rFonts w:ascii="Times New Roman" w:hAnsi="宋体"/>
                <w:bCs/>
                <w:sz w:val="24"/>
                <w:szCs w:val="24"/>
              </w:rPr>
            </w:pPr>
            <w:r>
              <w:rPr>
                <w:rFonts w:hint="eastAsia" w:ascii="Times New Roman" w:hAnsi="宋体"/>
                <w:bCs/>
                <w:sz w:val="24"/>
                <w:szCs w:val="24"/>
              </w:rPr>
              <w:t>3.能通过对亚里士多德和柏拉图思想的学习，思考教育和政治的关系。</w:t>
            </w:r>
          </w:p>
          <w:p w14:paraId="2F66B318">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6A6115C5">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通过对“苏格拉底方法”的学习和实践，明白真理是具体的，具有相对性，在一定条件下可以向自己的反面转化。</w:t>
            </w:r>
          </w:p>
        </w:tc>
      </w:tr>
      <w:tr w14:paraId="34F3C89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65FDEA9">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教学重难点</w:t>
            </w:r>
          </w:p>
        </w:tc>
        <w:tc>
          <w:tcPr>
            <w:tcW w:w="9394" w:type="dxa"/>
            <w:gridSpan w:val="2"/>
            <w:tcBorders>
              <w:tl2br w:val="nil"/>
              <w:tr2bl w:val="nil"/>
            </w:tcBorders>
            <w:vAlign w:val="center"/>
          </w:tcPr>
          <w:p w14:paraId="1D47A728">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1.斯巴达教育的特点。</w:t>
            </w:r>
          </w:p>
          <w:p w14:paraId="77E65822">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2.西欧中世纪的儿童观。</w:t>
            </w:r>
          </w:p>
          <w:p w14:paraId="57DD57A9">
            <w:pPr>
              <w:spacing w:line="360" w:lineRule="auto"/>
              <w:ind w:left="-6" w:firstLine="480" w:firstLineChars="200"/>
              <w:rPr>
                <w:rFonts w:ascii="Times New Roman" w:hAnsi="Times New Roman"/>
                <w:sz w:val="24"/>
                <w:szCs w:val="24"/>
              </w:rPr>
            </w:pPr>
            <w:r>
              <w:rPr>
                <w:rFonts w:hint="eastAsia" w:ascii="Times New Roman" w:hAnsi="Times New Roman"/>
                <w:sz w:val="24"/>
                <w:szCs w:val="24"/>
              </w:rPr>
              <w:t>3.亚里士多德对世界的贡献。</w:t>
            </w:r>
          </w:p>
        </w:tc>
      </w:tr>
      <w:tr w14:paraId="5DEC98E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EA460C4">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教学方法</w:t>
            </w:r>
          </w:p>
        </w:tc>
        <w:tc>
          <w:tcPr>
            <w:tcW w:w="9394" w:type="dxa"/>
            <w:gridSpan w:val="2"/>
            <w:tcBorders>
              <w:tl2br w:val="nil"/>
              <w:tr2bl w:val="nil"/>
            </w:tcBorders>
            <w:vAlign w:val="center"/>
          </w:tcPr>
          <w:p w14:paraId="1F3453FA">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11EDAE4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923E2A5">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教学用具</w:t>
            </w:r>
          </w:p>
        </w:tc>
        <w:tc>
          <w:tcPr>
            <w:tcW w:w="9394" w:type="dxa"/>
            <w:gridSpan w:val="2"/>
            <w:tcBorders>
              <w:tl2br w:val="nil"/>
              <w:tr2bl w:val="nil"/>
            </w:tcBorders>
            <w:vAlign w:val="center"/>
          </w:tcPr>
          <w:p w14:paraId="300780C1">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7A3F43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40311A4">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教学设计</w:t>
            </w:r>
          </w:p>
        </w:tc>
        <w:tc>
          <w:tcPr>
            <w:tcW w:w="9394" w:type="dxa"/>
            <w:gridSpan w:val="2"/>
            <w:tcBorders>
              <w:tl2br w:val="nil"/>
              <w:tr2bl w:val="nil"/>
            </w:tcBorders>
            <w:vAlign w:val="center"/>
          </w:tcPr>
          <w:p w14:paraId="585B4BD3">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7678984D">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0D859C3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31B3453">
            <w:pPr>
              <w:spacing w:line="360" w:lineRule="auto"/>
              <w:ind w:hanging="8"/>
              <w:jc w:val="center"/>
              <w:rPr>
                <w:rFonts w:ascii="宋体" w:hAnsi="宋体" w:cs="宋体"/>
                <w:b/>
                <w:bCs w:val="0"/>
                <w:color w:val="FFFFFF" w:themeColor="background1"/>
                <w:sz w:val="28"/>
                <w:szCs w:val="28"/>
                <w14:textFill>
                  <w14:solidFill>
                    <w14:schemeClr w14:val="bg1"/>
                  </w14:solidFill>
                </w14:textFill>
              </w:rPr>
            </w:pPr>
            <w:r>
              <w:rPr>
                <w:rFonts w:hint="eastAsia" w:ascii="宋体" w:hAnsi="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886E15E">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2DDBE714">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751EDE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C3AAE75">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考勤</w:t>
            </w:r>
          </w:p>
          <w:p w14:paraId="37B7218A">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（2min）</w:t>
            </w:r>
          </w:p>
        </w:tc>
        <w:tc>
          <w:tcPr>
            <w:tcW w:w="7479" w:type="dxa"/>
            <w:tcBorders>
              <w:tl2br w:val="nil"/>
              <w:tr2bl w:val="nil"/>
            </w:tcBorders>
            <w:vAlign w:val="center"/>
          </w:tcPr>
          <w:p w14:paraId="1A2C2DBC">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369CC441">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7EF68608">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318324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C39741">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2E4703FA">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64C48A22">
            <w:pPr>
              <w:spacing w:line="360" w:lineRule="auto"/>
              <w:rPr>
                <w:rFonts w:ascii="Times New Roman" w:hAnsi="Times New Roman"/>
                <w:color w:val="C00000"/>
                <w:sz w:val="24"/>
                <w:szCs w:val="24"/>
              </w:rPr>
            </w:pPr>
            <w:r>
              <w:rPr>
                <w:rFonts w:hint="eastAsia" w:ascii="Times New Roman" w:hAnsi="Times New Roman"/>
                <w:color w:val="C00000"/>
                <w:sz w:val="24"/>
                <w:szCs w:val="24"/>
              </w:rPr>
              <w:t>【教师】</w:t>
            </w:r>
            <w:bookmarkStart w:id="1" w:name="OLE_LINK6"/>
            <w:bookmarkStart w:id="2" w:name="OLE_LINK5"/>
            <w:r>
              <w:rPr>
                <w:rFonts w:hint="eastAsia" w:ascii="Times New Roman" w:hAnsi="Times New Roman"/>
                <w:color w:val="C00000"/>
                <w:sz w:val="24"/>
                <w:szCs w:val="24"/>
              </w:rPr>
              <w:t>古希腊的学前教育及其代表人物</w:t>
            </w:r>
            <w:bookmarkEnd w:id="1"/>
            <w:bookmarkEnd w:id="2"/>
          </w:p>
          <w:p w14:paraId="7969FB0C">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一、斯巴达的幼儿教育</w:t>
            </w:r>
          </w:p>
          <w:p w14:paraId="4A7661F4">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在斯巴达，儿童属于国家所有，斯巴达人对新出生的婴儿实行严格的体质检查制度，只有那些检查合格，体格健魄的新生儿，才允许被生下来。身体孱弱或者残疾的新生儿则被抛弃之荒野。实行体格检查的目的，是为了保证种族质量在体质上的“优越性”以便日后培养出体格强壮的战士。</w:t>
            </w:r>
          </w:p>
          <w:p w14:paraId="5320D946">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儿童在七岁之前，由父母在国家的监督下抚养教育，具体工作一般由母亲负责实施。以便迅速增强他们的适应能力。斯巴达的母亲们从来不用衣物包裹他们；并且，母亲们为了使婴儿长大后不怕黑暗、不怕独处、不任性、不择食、不哭闹、不顽皮，还经常进行一些专门训练。</w:t>
            </w:r>
          </w:p>
          <w:p w14:paraId="70A025FA">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此外斯巴达十分重视女子教育，女孩在体力方面和道德方面也受到同样的教育，以便在男子出征时负担起保卫国家的职责。</w:t>
            </w:r>
          </w:p>
          <w:p w14:paraId="355B38F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总之斯巴达国家封闭的地理条件和其试图维持国家统治的现实需要决定了斯巴达教育的总体特征为单纯的军事体育训练和性格教育，其教育目的是培养性格坚强、英勇善战的军人。</w:t>
            </w:r>
          </w:p>
          <w:p w14:paraId="554BC6E8">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可以说，这种教育贯穿斯巴达儿童的人生。</w:t>
            </w:r>
          </w:p>
          <w:p w14:paraId="6DCC1372">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二、雅典的幼儿教育</w:t>
            </w:r>
          </w:p>
          <w:p w14:paraId="4C618C08">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雅典儿童在七岁之前，一般要在家庭里接受系统严格的养护和教育。首先新生儿要求接受严格的体检，不健壮或者残疾的婴儿被弃之野外，或者交给奴隶抚养，只有体格健壮者才有资格和活下来。</w:t>
            </w:r>
          </w:p>
          <w:p w14:paraId="7C31A700">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三、柏拉图</w:t>
            </w:r>
          </w:p>
          <w:p w14:paraId="461BE2AF">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柏拉图是西方学前教育思想的重要奠基人，他在其代表作《理想国》中，提出一个围绕培养“哲学王”的教育计划，其中涉及的学前教育问题对世后的教育发展，有重要的影响作用。</w:t>
            </w:r>
          </w:p>
          <w:p w14:paraId="4B1FD2FA">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（一）生平和代表作</w:t>
            </w:r>
          </w:p>
          <w:p w14:paraId="6FBE5EA8">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柏拉图是希腊著名的思想家、哲学家、教育家、客观唯心主义的创始人。</w:t>
            </w:r>
          </w:p>
          <w:p w14:paraId="11150376">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柏拉图的著作较多，其教育思想主要反映在《理想国》和《法律篇》中。在认识论上，柏拉图主张认识不是对万物存在的现象世界的感知，而是对理念世界的回忆。</w:t>
            </w:r>
          </w:p>
          <w:p w14:paraId="47264417">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在柏拉图理想的国家中，将神的最优创造物—人分为三个等级：哲学家、军人和劳动者。</w:t>
            </w:r>
          </w:p>
          <w:p w14:paraId="3FA5E5B4">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（二）学前教育思想</w:t>
            </w:r>
          </w:p>
          <w:p w14:paraId="30FA5381">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1.学前教育的任务</w:t>
            </w:r>
          </w:p>
          <w:p w14:paraId="353F100D">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在西方教育史上柏拉图是最早提出学前儿童教育问题的教育家。他主张：儿童应该从出生就接受教育，因为“凡事开头最重要”。</w:t>
            </w:r>
          </w:p>
          <w:p w14:paraId="2A751B28">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2.学前教育年龄阶段的划分和内容的选择</w:t>
            </w:r>
          </w:p>
          <w:p w14:paraId="566E20D6">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四、亚里士多德</w:t>
            </w:r>
          </w:p>
          <w:p w14:paraId="38DA3E31">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亚里士多德是古希腊哲学家、教育家。他在《政治学》和《伦理学》两部著作中集中阐述了其教育理论和幼儿教育思想。</w:t>
            </w:r>
          </w:p>
          <w:p w14:paraId="5B0E9913">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（一）生平和教育活动</w:t>
            </w:r>
          </w:p>
          <w:p w14:paraId="02EC908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他的写作涉及心理学、经济学、神学、政治学、修辞学、教育学、诗歌、风俗，以及雅典宪法。他至少撰写了170种著作，其中流传下来的有47种。他的科学著作在那个年代简直就是一本百科全书，内容涉及天文学、动物学、胚胎学、地理学、地质学、物理学、解剖学、生理学，总之，涉及古希腊人已知的各个学科。</w:t>
            </w:r>
          </w:p>
          <w:p w14:paraId="3D43ACBF">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他因此被马克思誉为“古代最伟大的思想家”。</w:t>
            </w:r>
          </w:p>
          <w:p w14:paraId="29CCE45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（二）论教育的本质和目的</w:t>
            </w:r>
          </w:p>
          <w:p w14:paraId="4A463422">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亚里士多德和柏拉图一样都充分肯定了教育与政治之间的关系，把教育视为现实政治的最重要手段。</w:t>
            </w:r>
          </w:p>
          <w:p w14:paraId="72981D31">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亚里士多德同时指出，教育不仅应该培养良好公民，还应该发展人的理性，因为在他看来，有三种东西能使人善良而有德行，那就是天性、习惯和理性。</w:t>
            </w:r>
          </w:p>
          <w:p w14:paraId="08A77CD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（三）论体、德、智、美和谐发展的教育</w:t>
            </w:r>
          </w:p>
          <w:p w14:paraId="1EECD12B">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亚里士多德体、德、智、美和谐发展的教育思想是建立在他的灵魂学说之上的。</w:t>
            </w:r>
          </w:p>
          <w:p w14:paraId="7C94FFF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（四）论教育的年龄分期</w:t>
            </w:r>
          </w:p>
          <w:p w14:paraId="2F762060">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他把一个人从出生到21岁的教育过程划分为3个阶段：0～7岁为第一个阶段，这个阶段属于幼儿教育阶段，以幼儿身体的生长发育为主；7～14岁为第二阶段，这个阶段属于初级学校教育阶段，以情感道德教育为主；14～21岁为第三阶段，这个阶段属于高级学校教育阶段，以智力教育为主。</w:t>
            </w:r>
          </w:p>
          <w:p w14:paraId="49ED0446">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（五）论幼儿教育</w:t>
            </w:r>
          </w:p>
          <w:p w14:paraId="34A49BA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1.胎教</w:t>
            </w:r>
          </w:p>
          <w:p w14:paraId="7EEF0D15">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2.婴幼儿教育</w:t>
            </w:r>
          </w:p>
          <w:p w14:paraId="7374C811">
            <w:pPr>
              <w:autoSpaceDE w:val="0"/>
              <w:spacing w:line="360" w:lineRule="auto"/>
              <w:ind w:firstLine="482" w:firstLineChars="200"/>
              <w:jc w:val="left"/>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五、苏格拉底</w:t>
            </w:r>
          </w:p>
          <w:p w14:paraId="00D1018E">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（一）苏格拉底生平 </w:t>
            </w:r>
          </w:p>
          <w:p w14:paraId="3740E957">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在欧洲文化史上他一直被看作是为追求真理而死的圣人，几乎与孔子在中国历史上所占的地位相同。</w:t>
            </w:r>
          </w:p>
          <w:p w14:paraId="620D541E">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（二）苏格拉底论教育</w:t>
            </w:r>
          </w:p>
          <w:p w14:paraId="1DDCE746">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1.教育目的 ：苏格拉底的教育目的是造就治国人才。</w:t>
            </w:r>
          </w:p>
          <w:p w14:paraId="2E4AF9E6">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2.教育内容 ：关于教育的内容他主张，首先要培养人的美德，教人学会做人，成为有德行的人，其次要教人学习广博而实用的知识。</w:t>
            </w:r>
          </w:p>
          <w:p w14:paraId="624B4AAC">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3.教育方法 ：苏格拉底自己有一套独特的教学法，人们称之为“苏格拉底方法”，他本人则称为“产婆术”。</w:t>
            </w:r>
          </w:p>
          <w:p w14:paraId="07FB7CC4">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苏格拉底方法自始至终是以师生问答的形式进行的，所以又叫“问答法”，苏格拉底在教学生获得某种概念时，不是把这种概念直接告诉学生，而是先向学生提出问题，让学生回答，如果学生回答错了，他也不直接纠正，而是提出另外的问题引导学生思考，从而一步一步得出正确的结论。</w:t>
            </w:r>
          </w:p>
        </w:tc>
        <w:tc>
          <w:tcPr>
            <w:tcW w:w="1915" w:type="dxa"/>
            <w:tcBorders>
              <w:tl2br w:val="nil"/>
              <w:tr2bl w:val="nil"/>
            </w:tcBorders>
            <w:vAlign w:val="center"/>
          </w:tcPr>
          <w:p w14:paraId="092BFF5D">
            <w:pPr>
              <w:spacing w:line="360" w:lineRule="auto"/>
              <w:rPr>
                <w:rFonts w:ascii="Times New Roman" w:hAnsi="Times New Roman"/>
                <w:sz w:val="24"/>
                <w:szCs w:val="24"/>
              </w:rPr>
            </w:pPr>
            <w:r>
              <w:rPr>
                <w:rFonts w:hint="eastAsia" w:ascii="Times New Roman" w:hAnsi="Times New Roman"/>
                <w:sz w:val="24"/>
                <w:szCs w:val="24"/>
              </w:rPr>
              <w:t>通过案例导入，讲解古希腊的学前教育及其代表人物，从而激发学生的学习欲望。</w:t>
            </w:r>
          </w:p>
        </w:tc>
      </w:tr>
      <w:tr w14:paraId="7765D6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0107513">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课堂小结（3min）</w:t>
            </w:r>
          </w:p>
        </w:tc>
        <w:tc>
          <w:tcPr>
            <w:tcW w:w="7479" w:type="dxa"/>
            <w:tcBorders>
              <w:tl2br w:val="nil"/>
              <w:tr2bl w:val="nil"/>
            </w:tcBorders>
            <w:vAlign w:val="center"/>
          </w:tcPr>
          <w:p w14:paraId="4BC69C36">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0CC31CA4">
            <w:pPr>
              <w:spacing w:line="360" w:lineRule="auto"/>
              <w:ind w:firstLine="480" w:firstLineChars="200"/>
              <w:rPr>
                <w:rFonts w:hAnsi="宋体"/>
                <w:bCs/>
                <w:sz w:val="24"/>
                <w:szCs w:val="24"/>
              </w:rPr>
            </w:pPr>
            <w:r>
              <w:rPr>
                <w:rFonts w:hint="eastAsia" w:hAnsi="宋体"/>
                <w:bCs/>
                <w:sz w:val="24"/>
                <w:szCs w:val="24"/>
              </w:rPr>
              <w:t>这节课我们一起学习了解了，古希腊的学前教育及其代表人物</w:t>
            </w:r>
          </w:p>
        </w:tc>
        <w:tc>
          <w:tcPr>
            <w:tcW w:w="1915" w:type="dxa"/>
            <w:tcBorders>
              <w:tl2br w:val="nil"/>
              <w:tr2bl w:val="nil"/>
            </w:tcBorders>
            <w:vAlign w:val="center"/>
          </w:tcPr>
          <w:p w14:paraId="12E48A24">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5763F5A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19E83BA">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17A08FA3">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6DFADDAF">
            <w:pPr>
              <w:spacing w:line="360" w:lineRule="auto"/>
              <w:rPr>
                <w:rFonts w:ascii="宋体" w:hAnsi="宋体" w:cs="宋体"/>
                <w:bCs/>
                <w:color w:val="C00000"/>
                <w:sz w:val="24"/>
                <w:szCs w:val="24"/>
                <w:lang w:bidi="ar"/>
              </w:rPr>
            </w:pPr>
            <w:bookmarkStart w:id="3" w:name="OLE_LINK7"/>
            <w:r>
              <w:rPr>
                <w:rFonts w:hint="eastAsia" w:ascii="宋体" w:hAnsi="宋体" w:cs="宋体"/>
                <w:color w:val="C00000"/>
                <w:sz w:val="24"/>
                <w:szCs w:val="24"/>
                <w:lang w:bidi="ar"/>
              </w:rPr>
              <w:t>【教师】</w:t>
            </w:r>
            <w:bookmarkEnd w:id="3"/>
            <w:bookmarkStart w:id="4" w:name="OLE_LINK8"/>
            <w:bookmarkStart w:id="5" w:name="OLE_LINK9"/>
            <w:r>
              <w:rPr>
                <w:rFonts w:hint="eastAsia" w:ascii="宋体" w:hAnsi="宋体" w:cs="宋体"/>
                <w:bCs/>
                <w:color w:val="C00000"/>
                <w:sz w:val="24"/>
                <w:szCs w:val="24"/>
                <w:lang w:bidi="ar"/>
              </w:rPr>
              <w:t>古罗马的幼儿教育</w:t>
            </w:r>
            <w:bookmarkEnd w:id="4"/>
            <w:bookmarkEnd w:id="5"/>
          </w:p>
          <w:p w14:paraId="17E72DA6">
            <w:pPr>
              <w:spacing w:line="360" w:lineRule="auto"/>
              <w:ind w:firstLine="964" w:firstLineChars="400"/>
              <w:rPr>
                <w:rFonts w:hint="eastAsia" w:ascii="宋体" w:hAnsi="宋体" w:cs="宋体"/>
                <w:b/>
                <w:bCs/>
                <w:sz w:val="24"/>
                <w:szCs w:val="24"/>
                <w:lang w:bidi="ar"/>
              </w:rPr>
            </w:pPr>
            <w:r>
              <w:rPr>
                <w:rFonts w:hint="eastAsia" w:ascii="宋体" w:hAnsi="宋体" w:cs="宋体"/>
                <w:b/>
                <w:bCs/>
                <w:sz w:val="24"/>
                <w:szCs w:val="24"/>
                <w:lang w:bidi="ar"/>
              </w:rPr>
              <w:t>一、共和前期的幼儿教育</w:t>
            </w:r>
          </w:p>
          <w:p w14:paraId="7350616A">
            <w:pPr>
              <w:spacing w:line="360" w:lineRule="auto"/>
              <w:ind w:firstLine="964" w:firstLineChars="400"/>
              <w:rPr>
                <w:rFonts w:hint="eastAsia" w:ascii="宋体" w:hAnsi="宋体" w:cs="宋体"/>
                <w:b/>
                <w:bCs/>
                <w:sz w:val="24"/>
                <w:szCs w:val="24"/>
                <w:lang w:bidi="ar"/>
              </w:rPr>
            </w:pPr>
            <w:r>
              <w:rPr>
                <w:rFonts w:hint="eastAsia" w:ascii="宋体" w:hAnsi="宋体" w:cs="宋体"/>
                <w:b/>
                <w:bCs/>
                <w:sz w:val="24"/>
                <w:szCs w:val="24"/>
                <w:lang w:bidi="ar"/>
              </w:rPr>
              <w:t>二、共和后期的幼儿教育</w:t>
            </w:r>
          </w:p>
          <w:p w14:paraId="5B9011C6">
            <w:pPr>
              <w:spacing w:line="360" w:lineRule="auto"/>
              <w:ind w:firstLine="964" w:firstLineChars="400"/>
              <w:rPr>
                <w:rFonts w:hint="eastAsia" w:ascii="宋体" w:hAnsi="宋体" w:cs="宋体"/>
                <w:b/>
                <w:bCs/>
                <w:sz w:val="24"/>
                <w:szCs w:val="24"/>
                <w:lang w:bidi="ar"/>
              </w:rPr>
            </w:pPr>
            <w:r>
              <w:rPr>
                <w:rFonts w:hint="eastAsia" w:ascii="宋体" w:hAnsi="宋体" w:cs="宋体"/>
                <w:b/>
                <w:bCs/>
                <w:sz w:val="24"/>
                <w:szCs w:val="24"/>
                <w:lang w:bidi="ar"/>
              </w:rPr>
              <w:t>三、帝国时期的幼儿教育</w:t>
            </w:r>
          </w:p>
          <w:p w14:paraId="2ABE88E3">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四、昆体良</w:t>
            </w:r>
          </w:p>
          <w:p w14:paraId="0999A181">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（一） 生平和教育著作</w:t>
            </w:r>
          </w:p>
          <w:p w14:paraId="0ECF72AA">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昆体良退休后，应朋友之邀，花费两年多的时间写成了凝聚其一生智慧和经验的教育理论专著《雄辩术原理》，又译《演说家的教育》。这是西方第一本专门论述教育问题的系统著作，在教育史上占有极重要位置。</w:t>
            </w:r>
          </w:p>
          <w:p w14:paraId="537C4906">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（二）论教育与天赋</w:t>
            </w:r>
          </w:p>
          <w:p w14:paraId="591FFAB8">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古希腊和古罗马时期涌现出许多著名的教育思想家，他们分别从不同的阶级立场出发，从不同的角度阐述了幼儿教育的有关思想，留下许多颇有研究和参考价值的教育著作，从而为后人研究古希腊和古罗马时期的幼儿教育问题提供了详实的资料。</w:t>
            </w:r>
          </w:p>
          <w:p w14:paraId="7862ACF5">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虽然其中的许多观点因为时代的束缚而看似缺乏必要的科学性，但其中不乏富有时代特色的教育观点和见解，在这种意义上说，古希腊和古罗马时期的幼儿教育思想不视为人类最宝贵的文化财富。</w:t>
            </w:r>
          </w:p>
          <w:p w14:paraId="2A98BDB7">
            <w:pPr>
              <w:spacing w:line="360" w:lineRule="auto"/>
              <w:rPr>
                <w:rFonts w:ascii="宋体" w:hAnsi="宋体" w:cs="宋体"/>
                <w:color w:val="CC0066"/>
                <w:sz w:val="24"/>
                <w:szCs w:val="24"/>
                <w:lang w:bidi="ar"/>
              </w:rPr>
            </w:pPr>
            <w:r>
              <w:rPr>
                <w:rFonts w:hint="eastAsia" w:ascii="宋体" w:hAnsi="宋体" w:cs="宋体"/>
                <w:color w:val="CC0066"/>
                <w:sz w:val="24"/>
                <w:szCs w:val="24"/>
                <w:lang w:bidi="ar"/>
              </w:rPr>
              <w:t>【教师】西欧中世纪的学前教育</w:t>
            </w:r>
          </w:p>
          <w:p w14:paraId="571C79CD">
            <w:pPr>
              <w:spacing w:line="360" w:lineRule="auto"/>
              <w:ind w:firstLine="723" w:firstLineChars="300"/>
              <w:rPr>
                <w:rFonts w:ascii="宋体" w:hAnsi="宋体" w:cs="宋体"/>
                <w:b/>
                <w:sz w:val="24"/>
                <w:szCs w:val="24"/>
                <w:lang w:bidi="ar"/>
              </w:rPr>
            </w:pPr>
            <w:r>
              <w:rPr>
                <w:rFonts w:hint="eastAsia" w:ascii="宋体" w:hAnsi="宋体" w:cs="宋体"/>
                <w:b/>
                <w:sz w:val="24"/>
                <w:szCs w:val="24"/>
                <w:lang w:bidi="ar"/>
              </w:rPr>
              <w:t>一、西欧中世纪的儿童观</w:t>
            </w:r>
          </w:p>
          <w:p w14:paraId="6F171EAD">
            <w:pPr>
              <w:spacing w:line="360" w:lineRule="auto"/>
              <w:ind w:firstLine="720" w:firstLineChars="300"/>
              <w:rPr>
                <w:rFonts w:ascii="宋体" w:hAnsi="宋体" w:cs="宋体"/>
                <w:sz w:val="24"/>
                <w:szCs w:val="24"/>
                <w:lang w:bidi="ar"/>
              </w:rPr>
            </w:pPr>
            <w:r>
              <w:rPr>
                <w:rFonts w:hint="eastAsia" w:ascii="宋体" w:hAnsi="宋体" w:cs="宋体"/>
                <w:sz w:val="24"/>
                <w:szCs w:val="24"/>
                <w:lang w:bidi="ar"/>
              </w:rPr>
              <w:t>西罗马帝国之后的欧洲一度成为基督教的天下，中世纪成为了神性时代。基督教会在思想意识上极力提倡“原罪说”和“禁欲主义”。教会宣扬“肉体是灵魂的监狱”，要求禁绝或控制一切成为万恶之源的欲望。在中世纪，禁欲主义成为基督教会所提倡的世界观的主要特征。</w:t>
            </w:r>
          </w:p>
          <w:p w14:paraId="0011C4CF">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（一）性恶论及体罚教育</w:t>
            </w:r>
          </w:p>
          <w:p w14:paraId="68F183D4">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（二）预成论及成人化的儿童教育</w:t>
            </w:r>
          </w:p>
          <w:p w14:paraId="477B5F75">
            <w:pPr>
              <w:spacing w:line="360" w:lineRule="auto"/>
              <w:ind w:firstLine="723" w:firstLineChars="300"/>
              <w:rPr>
                <w:rFonts w:ascii="宋体" w:hAnsi="宋体" w:cs="宋体"/>
                <w:b/>
                <w:sz w:val="24"/>
                <w:szCs w:val="24"/>
                <w:lang w:bidi="ar"/>
              </w:rPr>
            </w:pPr>
            <w:r>
              <w:rPr>
                <w:rFonts w:hint="eastAsia" w:ascii="宋体" w:hAnsi="宋体" w:cs="宋体"/>
                <w:b/>
                <w:sz w:val="24"/>
                <w:szCs w:val="24"/>
                <w:lang w:bidi="ar"/>
              </w:rPr>
              <w:t>二、西欧中世纪学前教育的实施</w:t>
            </w:r>
          </w:p>
          <w:p w14:paraId="292DC271">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（一）基督教会的学前教育</w:t>
            </w:r>
          </w:p>
          <w:p w14:paraId="472B026F">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1.学前教育的目的</w:t>
            </w:r>
          </w:p>
          <w:p w14:paraId="18A351A1">
            <w:pPr>
              <w:spacing w:line="360" w:lineRule="auto"/>
              <w:ind w:firstLine="720" w:firstLineChars="300"/>
              <w:rPr>
                <w:rFonts w:ascii="宋体" w:hAnsi="宋体" w:cs="宋体"/>
                <w:sz w:val="24"/>
                <w:szCs w:val="24"/>
                <w:lang w:bidi="ar"/>
              </w:rPr>
            </w:pPr>
            <w:r>
              <w:rPr>
                <w:rFonts w:hint="eastAsia" w:ascii="宋体" w:hAnsi="宋体" w:cs="宋体"/>
                <w:sz w:val="24"/>
                <w:szCs w:val="24"/>
                <w:lang w:bidi="ar"/>
              </w:rPr>
              <w:t>2.学前教育的内容和方法</w:t>
            </w:r>
          </w:p>
          <w:p w14:paraId="7F31F916">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（二）世俗封建主的学前教育</w:t>
            </w:r>
          </w:p>
          <w:p w14:paraId="76070CF0">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1.宫廷学校的教育</w:t>
            </w:r>
          </w:p>
          <w:p w14:paraId="1D5659FD">
            <w:pPr>
              <w:spacing w:line="360" w:lineRule="auto"/>
              <w:ind w:firstLine="720" w:firstLineChars="300"/>
              <w:rPr>
                <w:rFonts w:hint="eastAsia" w:ascii="宋体" w:hAnsi="宋体" w:cs="宋体"/>
                <w:sz w:val="24"/>
                <w:szCs w:val="24"/>
                <w:lang w:bidi="ar"/>
              </w:rPr>
            </w:pPr>
            <w:r>
              <w:rPr>
                <w:rFonts w:hint="eastAsia" w:ascii="宋体" w:hAnsi="宋体" w:cs="宋体"/>
                <w:sz w:val="24"/>
                <w:szCs w:val="24"/>
                <w:lang w:bidi="ar"/>
              </w:rPr>
              <w:t>2.骑士教育</w:t>
            </w:r>
          </w:p>
          <w:p w14:paraId="214AB76E">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6E3F4A83">
            <w:pPr>
              <w:spacing w:line="360" w:lineRule="auto"/>
              <w:rPr>
                <w:rFonts w:ascii="Times New Roman" w:hAnsi="Times New Roman"/>
                <w:sz w:val="24"/>
                <w:szCs w:val="24"/>
              </w:rPr>
            </w:pPr>
            <w:r>
              <w:rPr>
                <w:rFonts w:hint="eastAsia" w:ascii="Times New Roman" w:hAnsi="Times New Roman"/>
                <w:sz w:val="24"/>
                <w:szCs w:val="24"/>
              </w:rPr>
              <w:t>骑士教育的特点有哪些？</w:t>
            </w:r>
          </w:p>
        </w:tc>
        <w:tc>
          <w:tcPr>
            <w:tcW w:w="1915" w:type="dxa"/>
            <w:tcBorders>
              <w:tl2br w:val="nil"/>
              <w:tr2bl w:val="nil"/>
            </w:tcBorders>
            <w:vAlign w:val="center"/>
          </w:tcPr>
          <w:p w14:paraId="74303069">
            <w:pPr>
              <w:spacing w:line="360" w:lineRule="auto"/>
              <w:rPr>
                <w:rFonts w:ascii="Times New Roman" w:hAnsi="Times New Roman"/>
                <w:bCs/>
                <w:sz w:val="24"/>
                <w:szCs w:val="24"/>
              </w:rPr>
            </w:pPr>
            <w:r>
              <w:rPr>
                <w:rFonts w:hint="eastAsia" w:ascii="Times New Roman" w:hAnsi="Times New Roman"/>
                <w:bCs/>
                <w:sz w:val="24"/>
                <w:szCs w:val="24"/>
              </w:rPr>
              <w:t>通过教师讲解，了解古罗马的幼儿教育。</w:t>
            </w:r>
          </w:p>
        </w:tc>
      </w:tr>
      <w:tr w14:paraId="2F63F78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0BAA438">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课堂小结</w:t>
            </w:r>
          </w:p>
          <w:p w14:paraId="1F436FC9">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（3min）</w:t>
            </w:r>
          </w:p>
        </w:tc>
        <w:tc>
          <w:tcPr>
            <w:tcW w:w="7479" w:type="dxa"/>
            <w:tcBorders>
              <w:tl2br w:val="nil"/>
              <w:tr2bl w:val="nil"/>
            </w:tcBorders>
            <w:vAlign w:val="center"/>
          </w:tcPr>
          <w:p w14:paraId="4493EBDA">
            <w:pPr>
              <w:spacing w:line="360" w:lineRule="auto"/>
              <w:rPr>
                <w:rFonts w:ascii="Times New Roman" w:hAnsi="Times New Roman"/>
                <w:sz w:val="24"/>
                <w:szCs w:val="24"/>
              </w:rPr>
            </w:pPr>
            <w:bookmarkStart w:id="6" w:name="OLE_LINK2"/>
            <w:r>
              <w:rPr>
                <w:rFonts w:hint="eastAsia" w:ascii="宋体" w:hAnsi="宋体" w:cs="宋体"/>
                <w:color w:val="CC0066"/>
                <w:sz w:val="24"/>
                <w:szCs w:val="24"/>
                <w:lang w:bidi="ar"/>
              </w:rPr>
              <w:t>【教师】回顾和总结本节课的知识点。</w:t>
            </w:r>
          </w:p>
          <w:bookmarkEnd w:id="6"/>
          <w:p w14:paraId="6FA3DDAC">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这节课我们一起学习了古罗马的幼儿教育。</w:t>
            </w:r>
          </w:p>
        </w:tc>
        <w:tc>
          <w:tcPr>
            <w:tcW w:w="1915" w:type="dxa"/>
            <w:tcBorders>
              <w:tl2br w:val="nil"/>
              <w:tr2bl w:val="nil"/>
            </w:tcBorders>
            <w:vAlign w:val="center"/>
          </w:tcPr>
          <w:p w14:paraId="34FB5DC1">
            <w:pPr>
              <w:spacing w:line="360" w:lineRule="auto"/>
              <w:rPr>
                <w:rFonts w:ascii="Times New Roman" w:hAnsi="Times New Roman"/>
                <w:sz w:val="24"/>
                <w:szCs w:val="24"/>
              </w:rPr>
            </w:pPr>
            <w:bookmarkStart w:id="7" w:name="OLE_LINK3"/>
            <w:bookmarkStart w:id="8" w:name="OLE_LINK4"/>
            <w:r>
              <w:rPr>
                <w:rFonts w:hint="eastAsia" w:ascii="宋体" w:hAnsi="宋体" w:cs="宋体"/>
                <w:sz w:val="24"/>
                <w:szCs w:val="24"/>
                <w:lang w:bidi="ar"/>
              </w:rPr>
              <w:t>通过对所学知识的回顾，培养学生的归纳总结能力</w:t>
            </w:r>
            <w:bookmarkEnd w:id="7"/>
            <w:bookmarkEnd w:id="8"/>
          </w:p>
        </w:tc>
      </w:tr>
      <w:tr w14:paraId="4716CED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8370B9">
            <w:pPr>
              <w:ind w:left="8"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作业布置（2min）</w:t>
            </w:r>
          </w:p>
        </w:tc>
        <w:tc>
          <w:tcPr>
            <w:tcW w:w="7479" w:type="dxa"/>
            <w:tcBorders>
              <w:tl2br w:val="nil"/>
              <w:tr2bl w:val="nil"/>
            </w:tcBorders>
            <w:vAlign w:val="center"/>
          </w:tcPr>
          <w:p w14:paraId="6591AEF9">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2FD18820">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72F01323">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4ED7204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F70C3F9">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教学反思</w:t>
            </w:r>
          </w:p>
        </w:tc>
        <w:tc>
          <w:tcPr>
            <w:tcW w:w="9394" w:type="dxa"/>
            <w:gridSpan w:val="2"/>
            <w:tcBorders>
              <w:tl2br w:val="nil"/>
              <w:tr2bl w:val="nil"/>
            </w:tcBorders>
            <w:vAlign w:val="center"/>
          </w:tcPr>
          <w:p w14:paraId="6F2F1B55">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bookmarkEnd w:id="9"/>
    </w:tbl>
    <w:p w14:paraId="122549CF"/>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7EC9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DE93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3C6BD">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339A7">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EA5BA">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0670D">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7BD"/>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2447"/>
    <w:rsid w:val="001769B1"/>
    <w:rsid w:val="00177278"/>
    <w:rsid w:val="00183A11"/>
    <w:rsid w:val="0018438E"/>
    <w:rsid w:val="00195060"/>
    <w:rsid w:val="001A6E6C"/>
    <w:rsid w:val="001A70B3"/>
    <w:rsid w:val="001B36F7"/>
    <w:rsid w:val="001C4D6A"/>
    <w:rsid w:val="001D051E"/>
    <w:rsid w:val="001D3A8C"/>
    <w:rsid w:val="001E06FA"/>
    <w:rsid w:val="001E2B6C"/>
    <w:rsid w:val="001E4145"/>
    <w:rsid w:val="001E6D99"/>
    <w:rsid w:val="00200925"/>
    <w:rsid w:val="00202A1C"/>
    <w:rsid w:val="0020518E"/>
    <w:rsid w:val="002262BD"/>
    <w:rsid w:val="002316E4"/>
    <w:rsid w:val="00231853"/>
    <w:rsid w:val="002329DE"/>
    <w:rsid w:val="00233CF2"/>
    <w:rsid w:val="00235F6C"/>
    <w:rsid w:val="00240B02"/>
    <w:rsid w:val="0024383A"/>
    <w:rsid w:val="00251B66"/>
    <w:rsid w:val="0026126D"/>
    <w:rsid w:val="00264BD5"/>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3658"/>
    <w:rsid w:val="003648FD"/>
    <w:rsid w:val="00365839"/>
    <w:rsid w:val="00365BD3"/>
    <w:rsid w:val="0039102B"/>
    <w:rsid w:val="0039306C"/>
    <w:rsid w:val="003937CA"/>
    <w:rsid w:val="003A663D"/>
    <w:rsid w:val="003B0CAE"/>
    <w:rsid w:val="003B2EE1"/>
    <w:rsid w:val="003B4179"/>
    <w:rsid w:val="003B6AA4"/>
    <w:rsid w:val="003C37D3"/>
    <w:rsid w:val="003C495D"/>
    <w:rsid w:val="003D045E"/>
    <w:rsid w:val="003D32FB"/>
    <w:rsid w:val="003D3443"/>
    <w:rsid w:val="003D4B07"/>
    <w:rsid w:val="003D77B0"/>
    <w:rsid w:val="003F1437"/>
    <w:rsid w:val="003F5B78"/>
    <w:rsid w:val="0040216F"/>
    <w:rsid w:val="00402F26"/>
    <w:rsid w:val="00410165"/>
    <w:rsid w:val="00414D6F"/>
    <w:rsid w:val="004359A6"/>
    <w:rsid w:val="00444506"/>
    <w:rsid w:val="0045341E"/>
    <w:rsid w:val="0047652A"/>
    <w:rsid w:val="0048143C"/>
    <w:rsid w:val="00481FC2"/>
    <w:rsid w:val="00485D5E"/>
    <w:rsid w:val="00486CAD"/>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14F01"/>
    <w:rsid w:val="00524802"/>
    <w:rsid w:val="00527968"/>
    <w:rsid w:val="00530E72"/>
    <w:rsid w:val="0053418A"/>
    <w:rsid w:val="0055010C"/>
    <w:rsid w:val="00572303"/>
    <w:rsid w:val="00591658"/>
    <w:rsid w:val="00594AC9"/>
    <w:rsid w:val="005A04FD"/>
    <w:rsid w:val="005B2198"/>
    <w:rsid w:val="005C3540"/>
    <w:rsid w:val="005E14DD"/>
    <w:rsid w:val="005F1D11"/>
    <w:rsid w:val="00601D08"/>
    <w:rsid w:val="00603EDE"/>
    <w:rsid w:val="00610D47"/>
    <w:rsid w:val="00630A0C"/>
    <w:rsid w:val="00631B96"/>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B59A6"/>
    <w:rsid w:val="006B731C"/>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665D6"/>
    <w:rsid w:val="00771CB7"/>
    <w:rsid w:val="00774A06"/>
    <w:rsid w:val="007A1149"/>
    <w:rsid w:val="007A45BB"/>
    <w:rsid w:val="007B59A7"/>
    <w:rsid w:val="007C5ECB"/>
    <w:rsid w:val="007D07DC"/>
    <w:rsid w:val="007E135C"/>
    <w:rsid w:val="007F52A3"/>
    <w:rsid w:val="00820AB4"/>
    <w:rsid w:val="008373CE"/>
    <w:rsid w:val="0084469D"/>
    <w:rsid w:val="0084547D"/>
    <w:rsid w:val="00854400"/>
    <w:rsid w:val="0086345D"/>
    <w:rsid w:val="00867F7F"/>
    <w:rsid w:val="00881A37"/>
    <w:rsid w:val="00883C23"/>
    <w:rsid w:val="00895FF2"/>
    <w:rsid w:val="008A0B8D"/>
    <w:rsid w:val="008A12A5"/>
    <w:rsid w:val="008A17A6"/>
    <w:rsid w:val="008B65CA"/>
    <w:rsid w:val="008B7BB5"/>
    <w:rsid w:val="008C584A"/>
    <w:rsid w:val="008D0DCA"/>
    <w:rsid w:val="008D5353"/>
    <w:rsid w:val="008D7EF6"/>
    <w:rsid w:val="008E003C"/>
    <w:rsid w:val="008E6A68"/>
    <w:rsid w:val="008F27D3"/>
    <w:rsid w:val="008F2E57"/>
    <w:rsid w:val="008F6E17"/>
    <w:rsid w:val="009056B5"/>
    <w:rsid w:val="00906F30"/>
    <w:rsid w:val="009129DE"/>
    <w:rsid w:val="00914FD9"/>
    <w:rsid w:val="00916C28"/>
    <w:rsid w:val="00920641"/>
    <w:rsid w:val="00922F12"/>
    <w:rsid w:val="00926265"/>
    <w:rsid w:val="00935858"/>
    <w:rsid w:val="00943102"/>
    <w:rsid w:val="009444B5"/>
    <w:rsid w:val="00944501"/>
    <w:rsid w:val="00966471"/>
    <w:rsid w:val="0098073E"/>
    <w:rsid w:val="00983008"/>
    <w:rsid w:val="00984F92"/>
    <w:rsid w:val="00996E2D"/>
    <w:rsid w:val="009B07F3"/>
    <w:rsid w:val="009B3A40"/>
    <w:rsid w:val="009C0AE0"/>
    <w:rsid w:val="009C3CC9"/>
    <w:rsid w:val="009C65CB"/>
    <w:rsid w:val="009D1C47"/>
    <w:rsid w:val="009D2B40"/>
    <w:rsid w:val="009E362F"/>
    <w:rsid w:val="009F1D67"/>
    <w:rsid w:val="009F43F0"/>
    <w:rsid w:val="009F56A2"/>
    <w:rsid w:val="00A00006"/>
    <w:rsid w:val="00A01CBA"/>
    <w:rsid w:val="00A03BF7"/>
    <w:rsid w:val="00A07398"/>
    <w:rsid w:val="00A1764A"/>
    <w:rsid w:val="00A361DC"/>
    <w:rsid w:val="00A61ADE"/>
    <w:rsid w:val="00A65E57"/>
    <w:rsid w:val="00A66F98"/>
    <w:rsid w:val="00A77EDC"/>
    <w:rsid w:val="00A9481A"/>
    <w:rsid w:val="00AB118B"/>
    <w:rsid w:val="00AC0908"/>
    <w:rsid w:val="00AC16F9"/>
    <w:rsid w:val="00AC478F"/>
    <w:rsid w:val="00AC774E"/>
    <w:rsid w:val="00AD0743"/>
    <w:rsid w:val="00AD38C8"/>
    <w:rsid w:val="00AE4AF0"/>
    <w:rsid w:val="00AE5721"/>
    <w:rsid w:val="00AE683A"/>
    <w:rsid w:val="00B16242"/>
    <w:rsid w:val="00B16373"/>
    <w:rsid w:val="00B2045D"/>
    <w:rsid w:val="00B21432"/>
    <w:rsid w:val="00B25457"/>
    <w:rsid w:val="00B26D0D"/>
    <w:rsid w:val="00B35660"/>
    <w:rsid w:val="00B3567A"/>
    <w:rsid w:val="00B364A8"/>
    <w:rsid w:val="00B4272D"/>
    <w:rsid w:val="00B47365"/>
    <w:rsid w:val="00B537F5"/>
    <w:rsid w:val="00B604E2"/>
    <w:rsid w:val="00B7231E"/>
    <w:rsid w:val="00B745DF"/>
    <w:rsid w:val="00B80469"/>
    <w:rsid w:val="00B8084C"/>
    <w:rsid w:val="00B8585D"/>
    <w:rsid w:val="00BA0DFD"/>
    <w:rsid w:val="00BA3017"/>
    <w:rsid w:val="00BA4527"/>
    <w:rsid w:val="00BB0931"/>
    <w:rsid w:val="00BB6C06"/>
    <w:rsid w:val="00BB79B5"/>
    <w:rsid w:val="00BC0CDD"/>
    <w:rsid w:val="00BD44BE"/>
    <w:rsid w:val="00BD4558"/>
    <w:rsid w:val="00BF4125"/>
    <w:rsid w:val="00BF7295"/>
    <w:rsid w:val="00C020F4"/>
    <w:rsid w:val="00C03EBC"/>
    <w:rsid w:val="00C12DED"/>
    <w:rsid w:val="00C13010"/>
    <w:rsid w:val="00C13A18"/>
    <w:rsid w:val="00C15D93"/>
    <w:rsid w:val="00C15FA0"/>
    <w:rsid w:val="00C25BBA"/>
    <w:rsid w:val="00C32B34"/>
    <w:rsid w:val="00C3793E"/>
    <w:rsid w:val="00C538F6"/>
    <w:rsid w:val="00C539B3"/>
    <w:rsid w:val="00C62DB9"/>
    <w:rsid w:val="00C65E83"/>
    <w:rsid w:val="00C710BF"/>
    <w:rsid w:val="00C72F5C"/>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653F3"/>
    <w:rsid w:val="00D825C6"/>
    <w:rsid w:val="00D9020D"/>
    <w:rsid w:val="00D9518A"/>
    <w:rsid w:val="00D96E65"/>
    <w:rsid w:val="00DA2BE9"/>
    <w:rsid w:val="00DA70B9"/>
    <w:rsid w:val="00DB13C3"/>
    <w:rsid w:val="00DB2AB8"/>
    <w:rsid w:val="00DB4228"/>
    <w:rsid w:val="00DB55B3"/>
    <w:rsid w:val="00DB7A7E"/>
    <w:rsid w:val="00DC0439"/>
    <w:rsid w:val="00DC2395"/>
    <w:rsid w:val="00DC2957"/>
    <w:rsid w:val="00DD1421"/>
    <w:rsid w:val="00DD4D1B"/>
    <w:rsid w:val="00DF4461"/>
    <w:rsid w:val="00DF515A"/>
    <w:rsid w:val="00E0214F"/>
    <w:rsid w:val="00E032D4"/>
    <w:rsid w:val="00E04B69"/>
    <w:rsid w:val="00E0715F"/>
    <w:rsid w:val="00E07316"/>
    <w:rsid w:val="00E12FD7"/>
    <w:rsid w:val="00E31AE7"/>
    <w:rsid w:val="00E5322C"/>
    <w:rsid w:val="00E54598"/>
    <w:rsid w:val="00E5467F"/>
    <w:rsid w:val="00E556B1"/>
    <w:rsid w:val="00E665E3"/>
    <w:rsid w:val="00E722E8"/>
    <w:rsid w:val="00E730DA"/>
    <w:rsid w:val="00E77BE9"/>
    <w:rsid w:val="00E867CA"/>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206F"/>
    <w:rsid w:val="00F658F4"/>
    <w:rsid w:val="00F72692"/>
    <w:rsid w:val="00F75EB8"/>
    <w:rsid w:val="00F84C5E"/>
    <w:rsid w:val="00F90405"/>
    <w:rsid w:val="00F94A21"/>
    <w:rsid w:val="00F96231"/>
    <w:rsid w:val="00FC1E8A"/>
    <w:rsid w:val="00FD29F5"/>
    <w:rsid w:val="00FD5DA0"/>
    <w:rsid w:val="00FF43FF"/>
    <w:rsid w:val="00FF4BDE"/>
    <w:rsid w:val="027B08F2"/>
    <w:rsid w:val="061F1E41"/>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14B38F6"/>
    <w:rsid w:val="418E219A"/>
    <w:rsid w:val="436C72A2"/>
    <w:rsid w:val="43CD7F64"/>
    <w:rsid w:val="44B33A23"/>
    <w:rsid w:val="45C91BBA"/>
    <w:rsid w:val="4C7F0E23"/>
    <w:rsid w:val="5A7C6694"/>
    <w:rsid w:val="5C2D08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3118</Words>
  <Characters>3193</Characters>
  <Lines>23</Lines>
  <Paragraphs>6</Paragraphs>
  <TotalTime>1</TotalTime>
  <ScaleCrop>false</ScaleCrop>
  <LinksUpToDate>false</LinksUpToDate>
  <CharactersWithSpaces>3200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2025-07-29T12:58:00Z</dcterms:created>
  <dc:creator>DELL</dc:creator>
  <cp:lastModifiedBy>六月</cp:lastModifiedBy>
  <dcterms:modified xsi:type="dcterms:W3CDTF">2025-08-11T06:16:57Z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